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pPr w:leftFromText="141" w:rightFromText="141" w:vertAnchor="page" w:horzAnchor="margin" w:tblpY="1545"/>
        <w:tblW w:w="14142" w:type="dxa"/>
        <w:tblLayout w:type="fixed"/>
        <w:tblLook w:val="04A0" w:firstRow="1" w:lastRow="0" w:firstColumn="1" w:lastColumn="0" w:noHBand="0" w:noVBand="1"/>
      </w:tblPr>
      <w:tblGrid>
        <w:gridCol w:w="608"/>
        <w:gridCol w:w="28"/>
        <w:gridCol w:w="2166"/>
        <w:gridCol w:w="11"/>
        <w:gridCol w:w="1524"/>
        <w:gridCol w:w="18"/>
        <w:gridCol w:w="4942"/>
        <w:gridCol w:w="2010"/>
        <w:gridCol w:w="1134"/>
        <w:gridCol w:w="1701"/>
      </w:tblGrid>
      <w:tr w:rsidR="00FB3129" w:rsidTr="00E438BC">
        <w:tc>
          <w:tcPr>
            <w:tcW w:w="636" w:type="dxa"/>
            <w:gridSpan w:val="2"/>
            <w:shd w:val="clear" w:color="auto" w:fill="A6A6A6" w:themeFill="background1" w:themeFillShade="A6"/>
            <w:vAlign w:val="center"/>
          </w:tcPr>
          <w:p w:rsidR="00FB3129" w:rsidRDefault="00FB3129" w:rsidP="00FB3129">
            <w:pPr>
              <w:ind w:left="-108" w:right="-54"/>
              <w:jc w:val="center"/>
            </w:pPr>
            <w:bookmarkStart w:id="0" w:name="_GoBack"/>
            <w:bookmarkEnd w:id="0"/>
            <w:r>
              <w:t>L.p.</w:t>
            </w:r>
          </w:p>
        </w:tc>
        <w:tc>
          <w:tcPr>
            <w:tcW w:w="2177" w:type="dxa"/>
            <w:gridSpan w:val="2"/>
            <w:shd w:val="clear" w:color="auto" w:fill="A6A6A6" w:themeFill="background1" w:themeFillShade="A6"/>
            <w:vAlign w:val="center"/>
          </w:tcPr>
          <w:p w:rsidR="00FB3129" w:rsidRDefault="00FB3129" w:rsidP="00FB3129">
            <w:pPr>
              <w:jc w:val="center"/>
            </w:pPr>
            <w:r>
              <w:t>Treść zakupu</w:t>
            </w:r>
          </w:p>
        </w:tc>
        <w:tc>
          <w:tcPr>
            <w:tcW w:w="1524" w:type="dxa"/>
            <w:shd w:val="clear" w:color="auto" w:fill="A6A6A6" w:themeFill="background1" w:themeFillShade="A6"/>
            <w:vAlign w:val="center"/>
          </w:tcPr>
          <w:p w:rsidR="00FB3129" w:rsidRDefault="00FB3129" w:rsidP="00FB3129">
            <w:pPr>
              <w:jc w:val="center"/>
            </w:pPr>
            <w:r>
              <w:t>Ilość (sztuki)</w:t>
            </w:r>
          </w:p>
        </w:tc>
        <w:tc>
          <w:tcPr>
            <w:tcW w:w="4960" w:type="dxa"/>
            <w:gridSpan w:val="2"/>
            <w:shd w:val="clear" w:color="auto" w:fill="A6A6A6" w:themeFill="background1" w:themeFillShade="A6"/>
            <w:vAlign w:val="center"/>
          </w:tcPr>
          <w:p w:rsidR="00FB3129" w:rsidRPr="00247CD4" w:rsidRDefault="00FB3129" w:rsidP="00FB3129">
            <w:pPr>
              <w:jc w:val="center"/>
            </w:pPr>
            <w:r w:rsidRPr="00247CD4">
              <w:t>Opis</w:t>
            </w:r>
          </w:p>
        </w:tc>
        <w:tc>
          <w:tcPr>
            <w:tcW w:w="2010" w:type="dxa"/>
            <w:shd w:val="clear" w:color="auto" w:fill="A6A6A6" w:themeFill="background1" w:themeFillShade="A6"/>
            <w:vAlign w:val="center"/>
          </w:tcPr>
          <w:p w:rsidR="00FB3129" w:rsidRPr="00247CD4" w:rsidRDefault="00FB3129" w:rsidP="00FB3129">
            <w:pPr>
              <w:jc w:val="center"/>
            </w:pPr>
            <w:r>
              <w:t>Miejsce dostawy</w:t>
            </w:r>
          </w:p>
        </w:tc>
        <w:tc>
          <w:tcPr>
            <w:tcW w:w="1134" w:type="dxa"/>
            <w:shd w:val="clear" w:color="auto" w:fill="A6A6A6" w:themeFill="background1" w:themeFillShade="A6"/>
            <w:vAlign w:val="center"/>
          </w:tcPr>
          <w:p w:rsidR="00FB3129" w:rsidRPr="00247CD4" w:rsidRDefault="00FB3129" w:rsidP="00FB3129">
            <w:pPr>
              <w:jc w:val="center"/>
            </w:pPr>
            <w:r>
              <w:t>Cena jednostkowa</w:t>
            </w:r>
          </w:p>
        </w:tc>
        <w:tc>
          <w:tcPr>
            <w:tcW w:w="1701" w:type="dxa"/>
            <w:shd w:val="clear" w:color="auto" w:fill="A6A6A6" w:themeFill="background1" w:themeFillShade="A6"/>
            <w:vAlign w:val="center"/>
          </w:tcPr>
          <w:p w:rsidR="00FB3129" w:rsidRDefault="00FB3129" w:rsidP="00FB3129">
            <w:pPr>
              <w:jc w:val="center"/>
            </w:pPr>
            <w:r>
              <w:t>Cena razem</w:t>
            </w:r>
          </w:p>
        </w:tc>
      </w:tr>
      <w:tr w:rsidR="00935994" w:rsidTr="00EC6A43">
        <w:tc>
          <w:tcPr>
            <w:tcW w:w="9297" w:type="dxa"/>
            <w:gridSpan w:val="7"/>
            <w:shd w:val="clear" w:color="auto" w:fill="A6A6A6" w:themeFill="background1" w:themeFillShade="A6"/>
            <w:vAlign w:val="center"/>
          </w:tcPr>
          <w:p w:rsidR="00935994" w:rsidRPr="00247CD4" w:rsidRDefault="00935994" w:rsidP="00EC6A43">
            <w:pPr>
              <w:jc w:val="center"/>
            </w:pPr>
            <w:r w:rsidRPr="00247CD4">
              <w:t>Materiały do zajęć specjalistycznych</w:t>
            </w:r>
          </w:p>
        </w:tc>
        <w:tc>
          <w:tcPr>
            <w:tcW w:w="2010" w:type="dxa"/>
            <w:shd w:val="clear" w:color="auto" w:fill="A6A6A6" w:themeFill="background1" w:themeFillShade="A6"/>
          </w:tcPr>
          <w:p w:rsidR="00935994" w:rsidRPr="00247CD4" w:rsidRDefault="00935994" w:rsidP="00EC6A43">
            <w:pPr>
              <w:jc w:val="center"/>
            </w:pPr>
          </w:p>
        </w:tc>
        <w:tc>
          <w:tcPr>
            <w:tcW w:w="1134" w:type="dxa"/>
            <w:shd w:val="clear" w:color="auto" w:fill="A6A6A6" w:themeFill="background1" w:themeFillShade="A6"/>
          </w:tcPr>
          <w:p w:rsidR="00935994" w:rsidRPr="00247CD4" w:rsidRDefault="00935994" w:rsidP="00EC6A43">
            <w:pPr>
              <w:jc w:val="center"/>
            </w:pPr>
          </w:p>
        </w:tc>
        <w:tc>
          <w:tcPr>
            <w:tcW w:w="1701" w:type="dxa"/>
            <w:shd w:val="clear" w:color="auto" w:fill="A6A6A6" w:themeFill="background1" w:themeFillShade="A6"/>
          </w:tcPr>
          <w:p w:rsidR="00935994" w:rsidRPr="00247CD4" w:rsidRDefault="00935994" w:rsidP="00EC6A43">
            <w:pPr>
              <w:jc w:val="center"/>
            </w:pPr>
          </w:p>
        </w:tc>
      </w:tr>
      <w:tr w:rsidR="00935994" w:rsidTr="00EC6A43">
        <w:tc>
          <w:tcPr>
            <w:tcW w:w="608" w:type="dxa"/>
            <w:vAlign w:val="center"/>
          </w:tcPr>
          <w:p w:rsidR="00935994" w:rsidRDefault="00935994" w:rsidP="00FB3129">
            <w:pPr>
              <w:jc w:val="center"/>
            </w:pPr>
            <w:r>
              <w:t>1.</w:t>
            </w:r>
          </w:p>
        </w:tc>
        <w:tc>
          <w:tcPr>
            <w:tcW w:w="2194" w:type="dxa"/>
            <w:gridSpan w:val="2"/>
            <w:vAlign w:val="center"/>
          </w:tcPr>
          <w:p w:rsidR="00935994" w:rsidRDefault="00935994" w:rsidP="00EC6A43">
            <w:proofErr w:type="spellStart"/>
            <w:r>
              <w:t>EduSensus</w:t>
            </w:r>
            <w:proofErr w:type="spellEnd"/>
            <w:r>
              <w:t xml:space="preserve"> Logopedia 2.0 – pakiet poszerzony</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rPr>
                <w:rFonts w:eastAsia="Times New Roman" w:cs="Times New Roman"/>
                <w:lang w:eastAsia="pl-PL"/>
              </w:rPr>
            </w:pPr>
            <w:r w:rsidRPr="00247CD4">
              <w:rPr>
                <w:rFonts w:eastAsia="Times New Roman" w:cs="Times New Roman"/>
                <w:lang w:eastAsia="pl-PL"/>
              </w:rPr>
              <w:t xml:space="preserve">Multimedialny program komputerowy umożliwiający prowadzenie diagnozy i terapii dysleksji przeznaczony dla terapeutów i nauczycieli prowadzących zajęcia korekcyjno-kompensacyjne i dydaktyczne. Produkt powinien spełniać wymagania Europejskiej Dyrektywy dla Wyrobów Medycznych. Program powinien zawierać co najmniej następujące moduły: </w:t>
            </w:r>
          </w:p>
          <w:p w:rsidR="00935994" w:rsidRPr="00247CD4" w:rsidRDefault="00935994" w:rsidP="00EC6A43">
            <w:pPr>
              <w:rPr>
                <w:rFonts w:eastAsia="Times New Roman" w:cs="Times New Roman"/>
                <w:lang w:eastAsia="pl-PL"/>
              </w:rPr>
            </w:pPr>
            <w:r w:rsidRPr="00247CD4">
              <w:rPr>
                <w:rFonts w:eastAsia="Times New Roman" w:cs="Times New Roman"/>
                <w:lang w:eastAsia="pl-PL"/>
              </w:rPr>
              <w:t xml:space="preserve">1) Aplikację służącą ocenie ryzyka dysleksji zawierającą materiały interaktywne (próby diagnostyczne) wspomagające badanie przesiewowe dzieci oraz profilaktykę w zakresie trudności w czytaniu i pisaniu. </w:t>
            </w:r>
          </w:p>
          <w:p w:rsidR="00935994" w:rsidRPr="00247CD4" w:rsidRDefault="00935994" w:rsidP="00EC6A43">
            <w:pPr>
              <w:rPr>
                <w:rFonts w:ascii="Times New Roman" w:eastAsia="Times New Roman" w:hAnsi="Times New Roman" w:cs="Times New Roman"/>
                <w:lang w:eastAsia="pl-PL"/>
              </w:rPr>
            </w:pPr>
            <w:r w:rsidRPr="00247CD4">
              <w:rPr>
                <w:rFonts w:eastAsia="Times New Roman" w:cs="Times New Roman"/>
                <w:lang w:eastAsia="pl-PL"/>
              </w:rPr>
              <w:t xml:space="preserve">2) Aplikację składającą się z materiałów multimedialnych wspomagających naukę liter zawierających ćwiczenia pomagające w koordynacji ruchowej, słuchowo-ruchowej, wzrokowo-ruchowej, wzrokowo-słuchowo-wzrokowej, spostrzegawczości, </w:t>
            </w:r>
            <w:proofErr w:type="spellStart"/>
            <w:r w:rsidRPr="00247CD4">
              <w:rPr>
                <w:rFonts w:eastAsia="Times New Roman" w:cs="Times New Roman"/>
                <w:lang w:eastAsia="pl-PL"/>
              </w:rPr>
              <w:t>grafomotoryki</w:t>
            </w:r>
            <w:proofErr w:type="spellEnd"/>
            <w:r w:rsidRPr="00247CD4">
              <w:rPr>
                <w:rFonts w:eastAsia="Times New Roman" w:cs="Times New Roman"/>
                <w:lang w:eastAsia="pl-PL"/>
              </w:rPr>
              <w:t>, umiejętności klasyfikacji oraz logicznego myślenia. Program powinien zawierać rozwiązania graficzno-funkcjonalne ułatwiające pracę z nim dla osób z różnego rodzaju ograniczeniami.</w:t>
            </w:r>
            <w:r w:rsidRPr="00247CD4">
              <w:rPr>
                <w:rFonts w:ascii="Times New Roman" w:eastAsia="Times New Roman" w:hAnsi="Times New Roman" w:cs="Times New Roman"/>
                <w:lang w:eastAsia="pl-PL"/>
              </w:rPr>
              <w:t xml:space="preserve"> </w:t>
            </w:r>
          </w:p>
        </w:tc>
        <w:tc>
          <w:tcPr>
            <w:tcW w:w="2010" w:type="dxa"/>
          </w:tcPr>
          <w:p w:rsidR="00935994" w:rsidRDefault="00935994" w:rsidP="00EC6A43">
            <w:pPr>
              <w:rPr>
                <w:rFonts w:eastAsia="Times New Roman" w:cs="Times New Roman"/>
                <w:lang w:eastAsia="pl-PL"/>
              </w:rPr>
            </w:pPr>
            <w:r>
              <w:rPr>
                <w:rFonts w:eastAsia="Times New Roman" w:cs="Times New Roman"/>
                <w:lang w:eastAsia="pl-PL"/>
              </w:rPr>
              <w:t>SP1 – 1 szt.,</w:t>
            </w:r>
          </w:p>
          <w:p w:rsidR="00935994" w:rsidRDefault="00935994" w:rsidP="00EC6A43">
            <w:pPr>
              <w:rPr>
                <w:rFonts w:eastAsia="Times New Roman" w:cs="Times New Roman"/>
                <w:lang w:eastAsia="pl-PL"/>
              </w:rPr>
            </w:pPr>
            <w:r>
              <w:rPr>
                <w:rFonts w:eastAsia="Times New Roman" w:cs="Times New Roman"/>
                <w:lang w:eastAsia="pl-PL"/>
              </w:rPr>
              <w:t>SPB – 1 szt.,</w:t>
            </w:r>
          </w:p>
          <w:p w:rsidR="00935994" w:rsidRPr="00247CD4" w:rsidRDefault="00935994" w:rsidP="00EC6A43">
            <w:pPr>
              <w:rPr>
                <w:rFonts w:eastAsia="Times New Roman" w:cs="Times New Roman"/>
                <w:lang w:eastAsia="pl-PL"/>
              </w:rPr>
            </w:pPr>
            <w:r>
              <w:rPr>
                <w:rFonts w:eastAsia="Times New Roman" w:cs="Times New Roman"/>
                <w:lang w:eastAsia="pl-PL"/>
              </w:rPr>
              <w:t>SPN – 1 szt.</w:t>
            </w:r>
          </w:p>
        </w:tc>
        <w:tc>
          <w:tcPr>
            <w:tcW w:w="1134" w:type="dxa"/>
          </w:tcPr>
          <w:p w:rsidR="00935994" w:rsidRPr="00247CD4" w:rsidRDefault="00935994" w:rsidP="00EC6A43">
            <w:pPr>
              <w:rPr>
                <w:rFonts w:eastAsia="Times New Roman" w:cs="Times New Roman"/>
                <w:lang w:eastAsia="pl-PL"/>
              </w:rPr>
            </w:pPr>
          </w:p>
        </w:tc>
        <w:tc>
          <w:tcPr>
            <w:tcW w:w="1701" w:type="dxa"/>
          </w:tcPr>
          <w:p w:rsidR="00935994" w:rsidRPr="00247CD4" w:rsidRDefault="00935994" w:rsidP="00EC6A43">
            <w:pPr>
              <w:rPr>
                <w:rFonts w:eastAsia="Times New Roman" w:cs="Times New Roman"/>
                <w:lang w:eastAsia="pl-PL"/>
              </w:rPr>
            </w:pPr>
          </w:p>
        </w:tc>
      </w:tr>
      <w:tr w:rsidR="00935994" w:rsidTr="00EC6A43">
        <w:tc>
          <w:tcPr>
            <w:tcW w:w="608" w:type="dxa"/>
            <w:vAlign w:val="center"/>
          </w:tcPr>
          <w:p w:rsidR="00935994" w:rsidRDefault="00FB3129" w:rsidP="00EC6A43">
            <w:pPr>
              <w:jc w:val="center"/>
            </w:pPr>
            <w:r>
              <w:t>2</w:t>
            </w:r>
            <w:r w:rsidR="00935994">
              <w:t>.</w:t>
            </w:r>
          </w:p>
        </w:tc>
        <w:tc>
          <w:tcPr>
            <w:tcW w:w="2194" w:type="dxa"/>
            <w:gridSpan w:val="2"/>
            <w:vAlign w:val="center"/>
          </w:tcPr>
          <w:p w:rsidR="00935994" w:rsidRDefault="00935994" w:rsidP="00EC6A43">
            <w:r>
              <w:t xml:space="preserve">Zestaw pomocy (kolorowe bryły, paluszek – zabawka </w:t>
            </w:r>
            <w:proofErr w:type="spellStart"/>
            <w:r>
              <w:t>eduk</w:t>
            </w:r>
            <w:proofErr w:type="spellEnd"/>
            <w:r>
              <w:t xml:space="preserve">., </w:t>
            </w:r>
            <w:proofErr w:type="spellStart"/>
            <w:r>
              <w:t>wrzutka</w:t>
            </w:r>
            <w:proofErr w:type="spellEnd"/>
            <w:r>
              <w:t xml:space="preserve"> z kulką, klocki dotykowe)</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jc w:val="both"/>
            </w:pPr>
            <w:r w:rsidRPr="00247CD4">
              <w:t>- kolorowe bryły – duże bryły wykonane z pełnego tworzywa w sześciu kolorach. Zawartość: 6 brył o wys. 10 cm - każda bryła w innym kolorze - wykonane z mocnego tworzywa</w:t>
            </w:r>
          </w:p>
          <w:p w:rsidR="00935994" w:rsidRPr="00247CD4" w:rsidRDefault="00935994" w:rsidP="00EC6A43">
            <w:pPr>
              <w:jc w:val="both"/>
            </w:pPr>
            <w:r w:rsidRPr="00247CD4">
              <w:t xml:space="preserve">- paluszek – gra edukacyjna, zawiera czarne pudełko (optymalnej wielkości i takim kształcie, by zmieściło </w:t>
            </w:r>
            <w:r w:rsidRPr="00247CD4">
              <w:lastRenderedPageBreak/>
              <w:t>się w dłoni dziecka), dwuczęściowa podstawa z plastiku nietransparentnego z 37 otworami wielkości opuszka palca, transparentna pokrywa montowana z podstawą na zatrzaski do wielokrotnego otwierania i zamykania, w środku 24 plastikowe kulki w 4 kolorach.</w:t>
            </w:r>
          </w:p>
          <w:p w:rsidR="00935994" w:rsidRPr="00247CD4" w:rsidRDefault="00935994" w:rsidP="00EC6A43">
            <w:pPr>
              <w:jc w:val="both"/>
            </w:pPr>
            <w:r w:rsidRPr="00247CD4">
              <w:t xml:space="preserve">- </w:t>
            </w:r>
            <w:proofErr w:type="spellStart"/>
            <w:r w:rsidRPr="00247CD4">
              <w:t>wrzutka</w:t>
            </w:r>
            <w:proofErr w:type="spellEnd"/>
            <w:r w:rsidRPr="00247CD4">
              <w:t xml:space="preserve"> z kulką – zabawka składa się z plastikowego lub drewnianego koszyczka w kształcie rożka do którego przymocowana jest na tasiemce kulka.</w:t>
            </w:r>
          </w:p>
          <w:p w:rsidR="00935994" w:rsidRPr="00247CD4" w:rsidRDefault="00935994" w:rsidP="00EC6A43">
            <w:pPr>
              <w:jc w:val="both"/>
            </w:pPr>
            <w:r w:rsidRPr="00247CD4">
              <w:t>- klocki dotykowe –</w:t>
            </w:r>
            <w:r w:rsidRPr="00247CD4">
              <w:rPr>
                <w:rFonts w:ascii="Times New Roman" w:eastAsia="Times New Roman" w:hAnsi="Times New Roman" w:cs="Times New Roman"/>
                <w:sz w:val="24"/>
                <w:szCs w:val="24"/>
                <w:lang w:eastAsia="pl-PL"/>
              </w:rPr>
              <w:t xml:space="preserve"> </w:t>
            </w:r>
            <w:r w:rsidRPr="00247CD4">
              <w:t>drewniane pudełko o wymiarach 31 x 13,5 cm z zasuwanym wieczkiem, wewnątrz którego znajdują się 2 listewki, w każdej z nich 9 drewnianych klocków z przymocowanymi rożnymi rodzajami materiałów.</w:t>
            </w:r>
          </w:p>
        </w:tc>
        <w:tc>
          <w:tcPr>
            <w:tcW w:w="2010" w:type="dxa"/>
          </w:tcPr>
          <w:p w:rsidR="00935994" w:rsidRDefault="00935994" w:rsidP="00EC6A43">
            <w:pPr>
              <w:jc w:val="both"/>
            </w:pPr>
            <w:r>
              <w:lastRenderedPageBreak/>
              <w:t>SP4 – 1 szt.</w:t>
            </w:r>
          </w:p>
          <w:p w:rsidR="00935994" w:rsidRDefault="00935994" w:rsidP="00EC6A43">
            <w:pPr>
              <w:jc w:val="both"/>
            </w:pPr>
            <w:r>
              <w:t>SPP – 1 szt.</w:t>
            </w:r>
          </w:p>
          <w:p w:rsidR="00935994" w:rsidRPr="00247CD4" w:rsidRDefault="00935994" w:rsidP="00EC6A43">
            <w:pPr>
              <w:jc w:val="both"/>
            </w:pPr>
            <w:r>
              <w:t>SPZ – 1 szt.</w:t>
            </w: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c>
          <w:tcPr>
            <w:tcW w:w="608" w:type="dxa"/>
            <w:vAlign w:val="center"/>
          </w:tcPr>
          <w:p w:rsidR="00935994" w:rsidRDefault="00FB3129" w:rsidP="00EC6A43">
            <w:pPr>
              <w:jc w:val="center"/>
            </w:pPr>
            <w:r>
              <w:lastRenderedPageBreak/>
              <w:t>3</w:t>
            </w:r>
            <w:r w:rsidR="00935994">
              <w:t>.</w:t>
            </w:r>
          </w:p>
        </w:tc>
        <w:tc>
          <w:tcPr>
            <w:tcW w:w="2194" w:type="dxa"/>
            <w:gridSpan w:val="2"/>
            <w:vAlign w:val="center"/>
          </w:tcPr>
          <w:p w:rsidR="00935994" w:rsidRDefault="00935994" w:rsidP="00EC6A43">
            <w:r>
              <w:t>Zestaw pomocy (zygzakowate klepsydry, dźwiękowa tuba, deszczowy kij, tarka z koralikami)</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jc w:val="both"/>
            </w:pPr>
            <w:r w:rsidRPr="00247CD4">
              <w:t xml:space="preserve">- zygzakowate klepsydry – duża, przelewowa klepsydra wodna z kolorowymi cieczami. Klepsydra wypełniona jest cieczą w dwóch kolorach oraz cieczą bezbarwną. Kropelki spływają po zygzakowatych schodkach, a poszczególne kolory przemieszczają się zawsze w przeciwnych kierunkach, dążąc do wspólnego celu, jakim jest spodni zbiornik klepsydry. </w:t>
            </w:r>
            <w:r w:rsidRPr="00247CD4">
              <w:rPr>
                <w:bCs/>
              </w:rPr>
              <w:t>Wymiary:</w:t>
            </w:r>
            <w:r w:rsidRPr="00247CD4">
              <w:t>  ok 10 x 4 x 13 cm</w:t>
            </w:r>
          </w:p>
          <w:p w:rsidR="00935994" w:rsidRPr="00247CD4" w:rsidRDefault="00935994" w:rsidP="00EC6A43">
            <w:pPr>
              <w:jc w:val="both"/>
            </w:pPr>
            <w:r w:rsidRPr="00247CD4">
              <w:t>- dźwiękowa tuba – tuba dźwiękowa z tłoczkiem wykonana jest z przezroczystej rurki, z tłoczkiem i spiralnym torem, po którym krążą drobne, metalowe kuleczki. Przy przekręcaniu tłoczek opada i wydaje buczący dźwięk, a kulki krążąc po spirali chrzęszczą.</w:t>
            </w:r>
          </w:p>
          <w:p w:rsidR="00935994" w:rsidRPr="00247CD4" w:rsidRDefault="00935994" w:rsidP="00EC6A43">
            <w:pPr>
              <w:jc w:val="both"/>
            </w:pPr>
            <w:r w:rsidRPr="00247CD4">
              <w:t>- deszczowy kij – instrument w formie drewnianej rury wypełnionej zastawkami i koralikami. Poruszanie i przekręcanie kijem wywołuje odgłosy podobne dźwięku jaki wywołują krople deszczu.</w:t>
            </w:r>
            <w:r w:rsidRPr="00247CD4">
              <w:br/>
            </w:r>
            <w:r w:rsidRPr="00247CD4">
              <w:lastRenderedPageBreak/>
              <w:t>wym.</w:t>
            </w:r>
            <w:r w:rsidR="00006A94">
              <w:t xml:space="preserve"> Ok.</w:t>
            </w:r>
            <w:r w:rsidRPr="00247CD4">
              <w:t xml:space="preserve"> 24 x 4,5 x 4,5 cm</w:t>
            </w:r>
          </w:p>
          <w:p w:rsidR="00935994" w:rsidRPr="00247CD4" w:rsidRDefault="00935994" w:rsidP="00EC6A43">
            <w:pPr>
              <w:jc w:val="both"/>
            </w:pPr>
            <w:r w:rsidRPr="00247CD4">
              <w:t>- tarka z koralikami – instrument rytmiczny wytwarzający głośny dźwięk, dzięki metalowym koralikom rozmieszczonym na walcu. śr. 11 cm</w:t>
            </w:r>
            <w:r w:rsidR="00006A94">
              <w:t xml:space="preserve"> lub zbliżonym</w:t>
            </w:r>
          </w:p>
        </w:tc>
        <w:tc>
          <w:tcPr>
            <w:tcW w:w="2010" w:type="dxa"/>
          </w:tcPr>
          <w:p w:rsidR="00935994" w:rsidRDefault="00935994" w:rsidP="00EC6A43">
            <w:pPr>
              <w:jc w:val="both"/>
            </w:pPr>
            <w:r>
              <w:lastRenderedPageBreak/>
              <w:t>SP4 – 1 szt.</w:t>
            </w:r>
          </w:p>
          <w:p w:rsidR="00935994" w:rsidRDefault="00935994" w:rsidP="00EC6A43">
            <w:pPr>
              <w:jc w:val="both"/>
            </w:pPr>
            <w:r>
              <w:t>SPP – 1 szt.</w:t>
            </w:r>
          </w:p>
          <w:p w:rsidR="00935994" w:rsidRPr="00247CD4" w:rsidRDefault="00935994" w:rsidP="00EC6A43">
            <w:pPr>
              <w:jc w:val="both"/>
            </w:pPr>
            <w:r>
              <w:t>SPZ – 1 szt.</w:t>
            </w: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c>
          <w:tcPr>
            <w:tcW w:w="608" w:type="dxa"/>
            <w:vAlign w:val="center"/>
          </w:tcPr>
          <w:p w:rsidR="00935994" w:rsidRDefault="00FB3129" w:rsidP="00EC6A43">
            <w:pPr>
              <w:jc w:val="center"/>
            </w:pPr>
            <w:r>
              <w:lastRenderedPageBreak/>
              <w:t>4</w:t>
            </w:r>
            <w:r w:rsidR="00935994">
              <w:t>.</w:t>
            </w:r>
          </w:p>
        </w:tc>
        <w:tc>
          <w:tcPr>
            <w:tcW w:w="2194" w:type="dxa"/>
            <w:gridSpan w:val="2"/>
            <w:vAlign w:val="center"/>
          </w:tcPr>
          <w:p w:rsidR="00935994" w:rsidRDefault="00935994" w:rsidP="00EC6A43">
            <w:r>
              <w:t>Zestaw pomocy (</w:t>
            </w:r>
            <w:proofErr w:type="spellStart"/>
            <w:r>
              <w:t>pajdohistoryjki</w:t>
            </w:r>
            <w:proofErr w:type="spellEnd"/>
            <w:r>
              <w:t>, percepcja słuchowa (książeczka + CD), dyskalkulia – karty pracy)</w:t>
            </w:r>
          </w:p>
        </w:tc>
        <w:tc>
          <w:tcPr>
            <w:tcW w:w="1553" w:type="dxa"/>
            <w:gridSpan w:val="3"/>
            <w:vAlign w:val="center"/>
          </w:tcPr>
          <w:p w:rsidR="00935994" w:rsidRDefault="00935994" w:rsidP="00EC6A43">
            <w:pPr>
              <w:jc w:val="center"/>
            </w:pPr>
            <w:r>
              <w:t>6</w:t>
            </w:r>
          </w:p>
        </w:tc>
        <w:tc>
          <w:tcPr>
            <w:tcW w:w="4942" w:type="dxa"/>
          </w:tcPr>
          <w:p w:rsidR="00935994" w:rsidRPr="00247CD4" w:rsidRDefault="00935994" w:rsidP="00EC6A43">
            <w:pPr>
              <w:jc w:val="both"/>
            </w:pPr>
            <w:r w:rsidRPr="00247CD4">
              <w:t xml:space="preserve">- </w:t>
            </w:r>
            <w:proofErr w:type="spellStart"/>
            <w:r w:rsidRPr="00247CD4">
              <w:t>pajdohistoryjki</w:t>
            </w:r>
            <w:proofErr w:type="spellEnd"/>
            <w:r w:rsidRPr="00247CD4">
              <w:t xml:space="preserve"> – zestaw zawiera 20 kart. Na każdej karcie znajduje się </w:t>
            </w:r>
            <w:proofErr w:type="spellStart"/>
            <w:r w:rsidRPr="00247CD4">
              <w:t>pajdohistoryjka</w:t>
            </w:r>
            <w:proofErr w:type="spellEnd"/>
            <w:r w:rsidRPr="00247CD4">
              <w:t xml:space="preserve"> opisana krótkim wierszykiem oraz zestaw pytań, a na odwrocie ilustracja do wierszyka. W dalszym ciągu niniejszej broszurki wydrukowane są wierszyki z pytaniami ze wszystkich kart, w kolejności alfabetycznej tytułów.</w:t>
            </w:r>
          </w:p>
          <w:p w:rsidR="00935994" w:rsidRPr="00247CD4" w:rsidRDefault="00935994" w:rsidP="00EC6A43">
            <w:pPr>
              <w:jc w:val="both"/>
            </w:pPr>
            <w:r w:rsidRPr="00247CD4">
              <w:t>- percepcja słuchowa (książeczka + CD) – zestaw składa się z książeczki oraz płyty CD, na której zostały nagrane wypowiedzi. Każde z zadań wzbogacone jest o pytania i polecenia. Praca nad materiałem może być prowadzona z wykorzystaniem słuchawek.</w:t>
            </w:r>
          </w:p>
          <w:p w:rsidR="00935994" w:rsidRPr="00247CD4" w:rsidRDefault="00935994" w:rsidP="00EC6A43">
            <w:pPr>
              <w:jc w:val="both"/>
            </w:pPr>
            <w:r w:rsidRPr="00247CD4">
              <w:t>Zawartość zestawu: książeczka czarno-białą w formacie A5, płyta CD w formacie mp3, twarde opakowanie</w:t>
            </w:r>
          </w:p>
          <w:p w:rsidR="00935994" w:rsidRPr="00247CD4" w:rsidRDefault="00935994" w:rsidP="00EC6A43">
            <w:pPr>
              <w:jc w:val="both"/>
            </w:pPr>
            <w:r w:rsidRPr="00247CD4">
              <w:t xml:space="preserve">- dyskalkulia – karty pracy – Zestaw 157 wydrukowanych kart pracy z programu (Dyskalkulia </w:t>
            </w:r>
            <w:proofErr w:type="spellStart"/>
            <w:r w:rsidRPr="00247CD4">
              <w:t>Eduterapeutica</w:t>
            </w:r>
            <w:proofErr w:type="spellEnd"/>
            <w:r w:rsidRPr="00247CD4">
              <w:t>). Ćwiczenia zostały podzielone na dwie grupy – przykłady konkretne i abstrakcyjne. Ćwiczenia zawarte w kartach pracy obejmują następujące zagadnienia: analizę wzrokowa, syntezę wzrokową, koncentrację, myślenie operacyjne, rozwijanie pamięci operacyjnej oraz sprawność grafomotoryczną.</w:t>
            </w:r>
          </w:p>
        </w:tc>
        <w:tc>
          <w:tcPr>
            <w:tcW w:w="2010" w:type="dxa"/>
          </w:tcPr>
          <w:p w:rsidR="00935994" w:rsidRDefault="00544E84" w:rsidP="00EC6A43">
            <w:pPr>
              <w:jc w:val="both"/>
            </w:pPr>
            <w:r>
              <w:t>SP2</w:t>
            </w:r>
            <w:r w:rsidR="00935994">
              <w:t xml:space="preserve"> – 1 szt.</w:t>
            </w:r>
          </w:p>
          <w:p w:rsidR="00935994" w:rsidRDefault="00935994" w:rsidP="00EC6A43">
            <w:pPr>
              <w:jc w:val="both"/>
            </w:pPr>
            <w:r>
              <w:t>SP1 -  1 szt.</w:t>
            </w:r>
          </w:p>
          <w:p w:rsidR="00935994" w:rsidRDefault="00935994" w:rsidP="00EC6A43">
            <w:pPr>
              <w:jc w:val="both"/>
            </w:pPr>
            <w:r>
              <w:t>SP4 -  1 szt.</w:t>
            </w:r>
          </w:p>
          <w:p w:rsidR="00935994" w:rsidRDefault="00935994" w:rsidP="00EC6A43">
            <w:pPr>
              <w:jc w:val="both"/>
            </w:pPr>
            <w:r>
              <w:t>SPP – 1 szt.</w:t>
            </w:r>
          </w:p>
          <w:p w:rsidR="00935994" w:rsidRDefault="00935994" w:rsidP="00EC6A43">
            <w:pPr>
              <w:jc w:val="both"/>
            </w:pPr>
            <w:r>
              <w:t>SPN – 1 szt.</w:t>
            </w:r>
          </w:p>
          <w:p w:rsidR="00935994" w:rsidRPr="00247CD4" w:rsidRDefault="00935994" w:rsidP="00EC6A43">
            <w:pPr>
              <w:jc w:val="both"/>
            </w:pPr>
            <w:r>
              <w:t>SPZ – 1 szt.</w:t>
            </w: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rPr>
          <w:trHeight w:val="2422"/>
        </w:trPr>
        <w:tc>
          <w:tcPr>
            <w:tcW w:w="608" w:type="dxa"/>
            <w:vAlign w:val="center"/>
          </w:tcPr>
          <w:p w:rsidR="00935994" w:rsidRDefault="00FB3129" w:rsidP="00EC6A43">
            <w:pPr>
              <w:jc w:val="center"/>
            </w:pPr>
            <w:r>
              <w:lastRenderedPageBreak/>
              <w:t>5</w:t>
            </w:r>
            <w:r w:rsidR="00935994">
              <w:t>.</w:t>
            </w:r>
          </w:p>
        </w:tc>
        <w:tc>
          <w:tcPr>
            <w:tcW w:w="2194" w:type="dxa"/>
            <w:gridSpan w:val="2"/>
            <w:vAlign w:val="center"/>
          </w:tcPr>
          <w:p w:rsidR="00935994" w:rsidRDefault="00935994" w:rsidP="00EC6A43">
            <w:r>
              <w:t xml:space="preserve">Zestaw pomocy (analogie tematyczne, analogie atematyczne, percepcja wzrokowa) </w:t>
            </w:r>
          </w:p>
        </w:tc>
        <w:tc>
          <w:tcPr>
            <w:tcW w:w="1553" w:type="dxa"/>
            <w:gridSpan w:val="3"/>
            <w:vAlign w:val="center"/>
          </w:tcPr>
          <w:p w:rsidR="00935994" w:rsidRDefault="00935994" w:rsidP="00EC6A43">
            <w:pPr>
              <w:jc w:val="center"/>
            </w:pPr>
            <w:r>
              <w:t>6</w:t>
            </w:r>
          </w:p>
        </w:tc>
        <w:tc>
          <w:tcPr>
            <w:tcW w:w="4942" w:type="dxa"/>
          </w:tcPr>
          <w:p w:rsidR="00935994" w:rsidRPr="00247CD4" w:rsidRDefault="00935994" w:rsidP="00EC6A43">
            <w:pPr>
              <w:jc w:val="both"/>
            </w:pPr>
            <w:r w:rsidRPr="00247CD4">
              <w:t>- analogie tematyczne – karty ćwiczeń są podzielone według zastosowanych reguł oraz stopnia ich trudności. Dla każdej analogii przygotowano kilka ćwiczeń. Zawartość zestawu: 70 kart kartonowych kolorowych dwustronnie foliowanych, instrukcję z odpowiedziami, tekturowe opakowanie.</w:t>
            </w:r>
          </w:p>
          <w:p w:rsidR="00935994" w:rsidRPr="00247CD4" w:rsidRDefault="00935994" w:rsidP="00EC6A43">
            <w:pPr>
              <w:jc w:val="both"/>
            </w:pPr>
            <w:r w:rsidRPr="00247CD4">
              <w:t>- analogie atematyczne – W skład zestawu wchodzą następujące elementy: 67 kart (kolorowy karton, dwustronne foliowanie), instrukcja postępow</w:t>
            </w:r>
            <w:r w:rsidR="00006A94">
              <w:t>a</w:t>
            </w:r>
            <w:r w:rsidRPr="00247CD4">
              <w:t>nia (+ odpowiedzi), tekturowe opakowanie.</w:t>
            </w:r>
          </w:p>
          <w:p w:rsidR="00935994" w:rsidRPr="00247CD4" w:rsidRDefault="00935994" w:rsidP="00EC6A43">
            <w:pPr>
              <w:jc w:val="both"/>
            </w:pPr>
            <w:r w:rsidRPr="00247CD4">
              <w:t xml:space="preserve">- percepcja wzrokowa – zestaw ćwiczeń w skład którego wchodzą: </w:t>
            </w:r>
            <w:r w:rsidRPr="00247CD4">
              <w:rPr>
                <w:bCs/>
              </w:rPr>
              <w:t>48</w:t>
            </w:r>
            <w:r w:rsidRPr="00247CD4">
              <w:t xml:space="preserve"> kart czarno białych dwustronnie foliowanych, 1 formatka A4 z elementami do układania, 1 gruba folia A4 (</w:t>
            </w:r>
            <w:proofErr w:type="spellStart"/>
            <w:r w:rsidRPr="00247CD4">
              <w:t>ofertówka</w:t>
            </w:r>
            <w:proofErr w:type="spellEnd"/>
            <w:r w:rsidRPr="00247CD4">
              <w:t xml:space="preserve">) + pisak </w:t>
            </w:r>
            <w:proofErr w:type="spellStart"/>
            <w:r w:rsidRPr="00247CD4">
              <w:t>suchościeralny</w:t>
            </w:r>
            <w:proofErr w:type="spellEnd"/>
            <w:r w:rsidRPr="00247CD4">
              <w:t>, instrukcja z trudniejszymi odpowiedziami, tekturowe opakowanie.</w:t>
            </w:r>
          </w:p>
        </w:tc>
        <w:tc>
          <w:tcPr>
            <w:tcW w:w="2010" w:type="dxa"/>
          </w:tcPr>
          <w:p w:rsidR="00935994" w:rsidRDefault="00544E84" w:rsidP="00EC6A43">
            <w:pPr>
              <w:jc w:val="both"/>
            </w:pPr>
            <w:r>
              <w:t>SP2</w:t>
            </w:r>
            <w:r w:rsidR="00935994">
              <w:t xml:space="preserve"> – 1 szt.</w:t>
            </w:r>
          </w:p>
          <w:p w:rsidR="00935994" w:rsidRDefault="00935994" w:rsidP="00EC6A43">
            <w:pPr>
              <w:jc w:val="both"/>
            </w:pPr>
            <w:r>
              <w:t>SP1 -  1 szt.</w:t>
            </w:r>
          </w:p>
          <w:p w:rsidR="00935994" w:rsidRDefault="00935994" w:rsidP="00EC6A43">
            <w:pPr>
              <w:jc w:val="both"/>
            </w:pPr>
            <w:r>
              <w:t>SP4 -  1 szt.</w:t>
            </w:r>
          </w:p>
          <w:p w:rsidR="00935994" w:rsidRDefault="00935994" w:rsidP="00EC6A43">
            <w:pPr>
              <w:jc w:val="both"/>
            </w:pPr>
            <w:r>
              <w:t>SPP – 1 szt.</w:t>
            </w:r>
          </w:p>
          <w:p w:rsidR="00935994" w:rsidRDefault="00935994" w:rsidP="00EC6A43">
            <w:pPr>
              <w:jc w:val="both"/>
            </w:pPr>
            <w:r>
              <w:t>SPN – 1 szt.</w:t>
            </w:r>
          </w:p>
          <w:p w:rsidR="00935994" w:rsidRPr="00247CD4" w:rsidRDefault="00935994" w:rsidP="00EC6A43">
            <w:pPr>
              <w:jc w:val="both"/>
            </w:pPr>
            <w:r>
              <w:t>SPZ – 1 szt.</w:t>
            </w: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c>
          <w:tcPr>
            <w:tcW w:w="608" w:type="dxa"/>
            <w:vAlign w:val="center"/>
          </w:tcPr>
          <w:p w:rsidR="00935994" w:rsidRDefault="00FB3129" w:rsidP="00EC6A43">
            <w:pPr>
              <w:jc w:val="center"/>
            </w:pPr>
            <w:r>
              <w:t>6</w:t>
            </w:r>
            <w:r w:rsidR="00935994">
              <w:t>.</w:t>
            </w:r>
          </w:p>
        </w:tc>
        <w:tc>
          <w:tcPr>
            <w:tcW w:w="2194" w:type="dxa"/>
            <w:gridSpan w:val="2"/>
            <w:vAlign w:val="center"/>
          </w:tcPr>
          <w:p w:rsidR="00935994" w:rsidRDefault="00935994" w:rsidP="00EC6A43">
            <w:r>
              <w:t>Ludzie i emocje – pakiet zdjęć</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jc w:val="both"/>
            </w:pPr>
            <w:r w:rsidRPr="00247CD4">
              <w:t>Pakiety zdjęć są pomocą do ćwiczeń językowych. 90 zdjęć o wym. 14 x 21,5 cm umieszczonych w trwałym, kartonowym pudełku.</w:t>
            </w:r>
          </w:p>
        </w:tc>
        <w:tc>
          <w:tcPr>
            <w:tcW w:w="2010" w:type="dxa"/>
          </w:tcPr>
          <w:p w:rsidR="00935994" w:rsidRDefault="00935994" w:rsidP="00EC6A43">
            <w:pPr>
              <w:jc w:val="both"/>
            </w:pPr>
            <w:r>
              <w:t>SP4 – 1 szt.</w:t>
            </w:r>
          </w:p>
          <w:p w:rsidR="00935994" w:rsidRDefault="00935994" w:rsidP="00EC6A43">
            <w:pPr>
              <w:jc w:val="both"/>
            </w:pPr>
            <w:r>
              <w:t>SPP – 1 szt.</w:t>
            </w:r>
          </w:p>
          <w:p w:rsidR="00935994" w:rsidRDefault="00935994" w:rsidP="00EC6A43">
            <w:pPr>
              <w:jc w:val="both"/>
            </w:pPr>
            <w:r>
              <w:t>SPZ – 1 szt.</w:t>
            </w:r>
          </w:p>
          <w:p w:rsidR="00935994" w:rsidRPr="00247CD4" w:rsidRDefault="00935994" w:rsidP="00EC6A43">
            <w:pPr>
              <w:jc w:val="both"/>
            </w:pP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r w:rsidR="00935994" w:rsidTr="00EC6A43">
        <w:tc>
          <w:tcPr>
            <w:tcW w:w="608" w:type="dxa"/>
            <w:vAlign w:val="center"/>
          </w:tcPr>
          <w:p w:rsidR="00935994" w:rsidRDefault="00FB3129" w:rsidP="00EC6A43">
            <w:pPr>
              <w:jc w:val="center"/>
            </w:pPr>
            <w:r>
              <w:t>7</w:t>
            </w:r>
            <w:r w:rsidR="00935994">
              <w:t>.</w:t>
            </w:r>
          </w:p>
        </w:tc>
        <w:tc>
          <w:tcPr>
            <w:tcW w:w="2194" w:type="dxa"/>
            <w:gridSpan w:val="2"/>
            <w:vAlign w:val="center"/>
          </w:tcPr>
          <w:p w:rsidR="00935994" w:rsidRDefault="00935994" w:rsidP="00EC6A43">
            <w:r>
              <w:t>Diagnoza ucznia w ramach indywidualizacji nauczania, terapia ucznia w ramach indywidualizacji nauczania.</w:t>
            </w:r>
          </w:p>
        </w:tc>
        <w:tc>
          <w:tcPr>
            <w:tcW w:w="1553" w:type="dxa"/>
            <w:gridSpan w:val="3"/>
            <w:vAlign w:val="center"/>
          </w:tcPr>
          <w:p w:rsidR="00935994" w:rsidRDefault="00935994" w:rsidP="00EC6A43">
            <w:pPr>
              <w:jc w:val="center"/>
            </w:pPr>
            <w:r>
              <w:t>3</w:t>
            </w:r>
          </w:p>
        </w:tc>
        <w:tc>
          <w:tcPr>
            <w:tcW w:w="4942" w:type="dxa"/>
          </w:tcPr>
          <w:p w:rsidR="00935994" w:rsidRPr="00247CD4" w:rsidRDefault="00935994" w:rsidP="00EC6A43">
            <w:pPr>
              <w:jc w:val="both"/>
            </w:pPr>
            <w:r w:rsidRPr="00247CD4">
              <w:t xml:space="preserve">- diagnoza ucznia w ramach indywidualizacji nauczania – Poradnik przeznaczony jest dla osób pracujących z dziećmi w wieku wczesnoszkolnym - nauczycieli, pedagogów, logopedów i psychologów. Teczka zawiera: opisy prób diagnostycznych z zakresu: motoryki dużej, motoryki małej, lateralizacji, analizatora wzrokowego, analizatora słuchowego, mowy, karty zapisu wyników prób, opis umiejętności wymaganych na poszczególnych etapach edukacyjnych, karta obserwacji zachowania dziecka, wskazówki jak napisać indywidualny program edukacyjny, ogólne wskazówki do pracy z </w:t>
            </w:r>
            <w:r w:rsidRPr="00247CD4">
              <w:lastRenderedPageBreak/>
              <w:t>dzieckiem nadpobudliwym psychoruchowo i lękowym, załączniki - pomocne do przeprowadzenia prób diagnostycznych (14 kart A4)</w:t>
            </w:r>
          </w:p>
          <w:p w:rsidR="00935994" w:rsidRPr="00247CD4" w:rsidRDefault="00935994" w:rsidP="00EC6A43">
            <w:pPr>
              <w:jc w:val="both"/>
            </w:pPr>
            <w:r w:rsidRPr="00247CD4">
              <w:t>- terapia ucznia w ramach indywidualizacji nauczania – poradnik jest kontynuacją opracowania „Diagnoza ucznia w ramach indywidualizacji nauczania”. Poradnik zawiera propozycje różnorodnych ćwiczeń stymulujących rozwój zaburzonych funkcji, opracowania jest część prezentująca tworzenie indywidualnego planu oddziaływań terapeutyczno-edukacyjnych dla ucznia w ramach indywidualizacji nauczania. Podręcznik zawiera również „Słowniczek terminów”, 2 załączniki: „Karta diagnozy porównawczej” i „Karta doboru ćwiczeń usprawniających zaburzone funkcje u ucznia”.</w:t>
            </w:r>
          </w:p>
          <w:p w:rsidR="00935994" w:rsidRPr="00247CD4" w:rsidRDefault="00935994" w:rsidP="00EC6A43">
            <w:pPr>
              <w:jc w:val="both"/>
            </w:pPr>
            <w:r w:rsidRPr="00247CD4">
              <w:t>format: A4 , 80 str.</w:t>
            </w:r>
          </w:p>
        </w:tc>
        <w:tc>
          <w:tcPr>
            <w:tcW w:w="2010" w:type="dxa"/>
          </w:tcPr>
          <w:p w:rsidR="00935994" w:rsidRDefault="00935994" w:rsidP="00EC6A43">
            <w:pPr>
              <w:jc w:val="both"/>
            </w:pPr>
            <w:r>
              <w:lastRenderedPageBreak/>
              <w:t>SP4 – 1 szt.</w:t>
            </w:r>
          </w:p>
          <w:p w:rsidR="00935994" w:rsidRDefault="00935994" w:rsidP="00EC6A43">
            <w:pPr>
              <w:jc w:val="both"/>
            </w:pPr>
            <w:r>
              <w:t>SPP – 1 szt.</w:t>
            </w:r>
          </w:p>
          <w:p w:rsidR="00935994" w:rsidRDefault="00935994" w:rsidP="00EC6A43">
            <w:pPr>
              <w:jc w:val="both"/>
            </w:pPr>
            <w:r>
              <w:t>SPZ – 1 szt.</w:t>
            </w:r>
          </w:p>
          <w:p w:rsidR="00935994" w:rsidRPr="00247CD4" w:rsidRDefault="00935994" w:rsidP="00EC6A43">
            <w:pPr>
              <w:jc w:val="both"/>
            </w:pPr>
          </w:p>
        </w:tc>
        <w:tc>
          <w:tcPr>
            <w:tcW w:w="1134" w:type="dxa"/>
          </w:tcPr>
          <w:p w:rsidR="00935994" w:rsidRPr="00247CD4" w:rsidRDefault="00935994" w:rsidP="00EC6A43">
            <w:pPr>
              <w:jc w:val="both"/>
            </w:pPr>
          </w:p>
        </w:tc>
        <w:tc>
          <w:tcPr>
            <w:tcW w:w="1701" w:type="dxa"/>
          </w:tcPr>
          <w:p w:rsidR="00935994" w:rsidRPr="00247CD4" w:rsidRDefault="00935994" w:rsidP="00EC6A43">
            <w:pPr>
              <w:jc w:val="both"/>
            </w:pPr>
          </w:p>
        </w:tc>
      </w:tr>
    </w:tbl>
    <w:p w:rsidR="007F7236" w:rsidRDefault="007F7236" w:rsidP="00935994"/>
    <w:p w:rsidR="007F7236" w:rsidRDefault="007F7236" w:rsidP="00935994"/>
    <w:p w:rsidR="007F7236" w:rsidRPr="007F7236" w:rsidRDefault="007F7236" w:rsidP="007F7236">
      <w:pPr>
        <w:spacing w:after="0"/>
        <w:rPr>
          <w:sz w:val="24"/>
        </w:rPr>
      </w:pPr>
      <w:r w:rsidRPr="007F7236">
        <w:rPr>
          <w:sz w:val="24"/>
        </w:rPr>
        <w:t>Legenda:</w:t>
      </w:r>
    </w:p>
    <w:p w:rsidR="007F7236" w:rsidRPr="007F7236" w:rsidRDefault="007F7236" w:rsidP="007F7236">
      <w:pPr>
        <w:spacing w:after="0"/>
        <w:rPr>
          <w:sz w:val="24"/>
        </w:rPr>
      </w:pPr>
      <w:r w:rsidRPr="007F7236">
        <w:rPr>
          <w:sz w:val="24"/>
        </w:rPr>
        <w:t>SP1 – Szkoła Podstawowa Nr 1 im. Mikołaja Kopernika w Śremie, ul. Kochanowskiego 2, 63-100 Śrem</w:t>
      </w:r>
    </w:p>
    <w:p w:rsidR="007F7236" w:rsidRPr="007F7236" w:rsidRDefault="007F7236" w:rsidP="007F7236">
      <w:pPr>
        <w:spacing w:after="0"/>
        <w:rPr>
          <w:sz w:val="24"/>
        </w:rPr>
      </w:pPr>
      <w:r w:rsidRPr="007F7236">
        <w:rPr>
          <w:sz w:val="24"/>
        </w:rPr>
        <w:t xml:space="preserve">SP2 – Szkoła Podstawowa Nr 2 im. Ks. Piotra Wawrzyniaka w Śremie, ul. Szkolna 4, 63-100 Śrem </w:t>
      </w:r>
    </w:p>
    <w:p w:rsidR="007F7236" w:rsidRPr="007F7236" w:rsidRDefault="007F7236" w:rsidP="007F7236">
      <w:pPr>
        <w:spacing w:after="0"/>
        <w:rPr>
          <w:sz w:val="24"/>
        </w:rPr>
      </w:pPr>
      <w:r w:rsidRPr="007F7236">
        <w:rPr>
          <w:sz w:val="24"/>
        </w:rPr>
        <w:t>SP4 – Szkoła Podstawowa Nr 4 im. Marii Konopnickiej w Śremie, ul. Stefana Grota Roweckiego 10, 63-100 Śrem</w:t>
      </w:r>
    </w:p>
    <w:p w:rsidR="007F7236" w:rsidRPr="007F7236" w:rsidRDefault="007F7236" w:rsidP="007F7236">
      <w:pPr>
        <w:spacing w:after="0"/>
        <w:rPr>
          <w:sz w:val="24"/>
        </w:rPr>
      </w:pPr>
      <w:r w:rsidRPr="007F7236">
        <w:rPr>
          <w:sz w:val="24"/>
        </w:rPr>
        <w:t>SPB – Szkoła Podstawowa im. Gen. Dezyderego Chłapowskiego w Bodzyniewie, Bodzyniewo 35, 63-100 Śrem</w:t>
      </w:r>
    </w:p>
    <w:p w:rsidR="007F7236" w:rsidRPr="007F7236" w:rsidRDefault="007F7236" w:rsidP="007F7236">
      <w:pPr>
        <w:spacing w:after="0"/>
        <w:rPr>
          <w:sz w:val="24"/>
        </w:rPr>
      </w:pPr>
      <w:r w:rsidRPr="007F7236">
        <w:rPr>
          <w:sz w:val="24"/>
        </w:rPr>
        <w:t>SPK – Szkoła Podstawowa im. Władysława Reymonta w Krzyżanowie, Krzyżanowo 44, 63-100 Śrem</w:t>
      </w:r>
    </w:p>
    <w:p w:rsidR="007F7236" w:rsidRPr="007F7236" w:rsidRDefault="007F7236" w:rsidP="007F7236">
      <w:pPr>
        <w:spacing w:after="0"/>
        <w:rPr>
          <w:sz w:val="24"/>
        </w:rPr>
      </w:pPr>
      <w:r w:rsidRPr="007F7236">
        <w:rPr>
          <w:sz w:val="24"/>
        </w:rPr>
        <w:t>SPP – Szkoła Podstawowa im. Powstańców Wielkopolskich w Pyszącej, ul. Śremska 12, 63-100 Śrem</w:t>
      </w:r>
    </w:p>
    <w:p w:rsidR="007F7236" w:rsidRPr="007F7236" w:rsidRDefault="007F7236" w:rsidP="007F7236">
      <w:pPr>
        <w:spacing w:after="0"/>
        <w:rPr>
          <w:sz w:val="24"/>
        </w:rPr>
      </w:pPr>
      <w:r w:rsidRPr="007F7236">
        <w:rPr>
          <w:sz w:val="24"/>
        </w:rPr>
        <w:t>SPN – Szkoła Podstawowa im. Władysława Zamoyskiego w Nochowie, ul. Szkolna 5, 63-100 Śrem</w:t>
      </w:r>
    </w:p>
    <w:p w:rsidR="007F7236" w:rsidRPr="007F7236" w:rsidRDefault="007F7236" w:rsidP="007F7236">
      <w:pPr>
        <w:spacing w:after="0"/>
        <w:rPr>
          <w:sz w:val="24"/>
        </w:rPr>
      </w:pPr>
      <w:r w:rsidRPr="007F7236">
        <w:rPr>
          <w:sz w:val="24"/>
        </w:rPr>
        <w:t>SPZ – Szkoła Podstawowa w Zbrudzewie, ul. Śremska 49, 63-100 Śrem</w:t>
      </w:r>
    </w:p>
    <w:p w:rsidR="007F7236" w:rsidRPr="007F7236" w:rsidRDefault="007F7236" w:rsidP="007F7236">
      <w:pPr>
        <w:spacing w:after="0"/>
        <w:rPr>
          <w:sz w:val="24"/>
        </w:rPr>
      </w:pPr>
    </w:p>
    <w:p w:rsidR="002776BB" w:rsidRDefault="002776BB"/>
    <w:sectPr w:rsidR="002776BB" w:rsidSect="00F900ED">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129" w:rsidRDefault="00FB3129" w:rsidP="00FB3129">
      <w:pPr>
        <w:spacing w:after="0" w:line="240" w:lineRule="auto"/>
      </w:pPr>
      <w:r>
        <w:separator/>
      </w:r>
    </w:p>
  </w:endnote>
  <w:endnote w:type="continuationSeparator" w:id="0">
    <w:p w:rsidR="00FB3129" w:rsidRDefault="00FB3129" w:rsidP="00FB3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129" w:rsidRDefault="00FB3129" w:rsidP="00FB3129">
      <w:pPr>
        <w:spacing w:after="0" w:line="240" w:lineRule="auto"/>
      </w:pPr>
      <w:r>
        <w:separator/>
      </w:r>
    </w:p>
  </w:footnote>
  <w:footnote w:type="continuationSeparator" w:id="0">
    <w:p w:rsidR="00FB3129" w:rsidRDefault="00FB3129" w:rsidP="00FB31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010" w:rsidRDefault="00FB3129" w:rsidP="00247CD4">
    <w:pPr>
      <w:pStyle w:val="Nagwek"/>
      <w:jc w:val="right"/>
    </w:pPr>
    <w:r>
      <w:t>Załącznik 2.</w:t>
    </w:r>
    <w:r w:rsidR="0027523C">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994"/>
    <w:rsid w:val="00006A94"/>
    <w:rsid w:val="0027523C"/>
    <w:rsid w:val="002776BB"/>
    <w:rsid w:val="00544E84"/>
    <w:rsid w:val="007F7236"/>
    <w:rsid w:val="008824DF"/>
    <w:rsid w:val="00935994"/>
    <w:rsid w:val="00FB31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35994"/>
    <w:pPr>
      <w:spacing w:after="0" w:line="240" w:lineRule="auto"/>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35994"/>
    <w:pPr>
      <w:tabs>
        <w:tab w:val="center" w:pos="4536"/>
        <w:tab w:val="right" w:pos="9072"/>
      </w:tabs>
      <w:spacing w:after="0" w:line="240" w:lineRule="auto"/>
    </w:pPr>
    <w:rPr>
      <w:rFonts w:asciiTheme="minorHAnsi" w:eastAsiaTheme="minorHAnsi" w:hAnsiTheme="minorHAnsi" w:cstheme="minorBidi"/>
      <w:sz w:val="22"/>
      <w:szCs w:val="22"/>
    </w:rPr>
  </w:style>
  <w:style w:type="character" w:customStyle="1" w:styleId="NagwekZnak">
    <w:name w:val="Nagłówek Znak"/>
    <w:basedOn w:val="Domylnaczcionkaakapitu"/>
    <w:link w:val="Nagwek"/>
    <w:uiPriority w:val="99"/>
    <w:rsid w:val="00935994"/>
    <w:rPr>
      <w:rFonts w:asciiTheme="minorHAnsi" w:eastAsiaTheme="minorHAnsi" w:hAnsiTheme="minorHAnsi" w:cstheme="minorBidi"/>
      <w:sz w:val="22"/>
      <w:szCs w:val="22"/>
    </w:rPr>
  </w:style>
  <w:style w:type="paragraph" w:styleId="Stopka">
    <w:name w:val="footer"/>
    <w:basedOn w:val="Normalny"/>
    <w:link w:val="StopkaZnak"/>
    <w:uiPriority w:val="99"/>
    <w:unhideWhenUsed/>
    <w:rsid w:val="00FB3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31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35994"/>
    <w:pPr>
      <w:spacing w:after="0" w:line="240" w:lineRule="auto"/>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35994"/>
    <w:pPr>
      <w:tabs>
        <w:tab w:val="center" w:pos="4536"/>
        <w:tab w:val="right" w:pos="9072"/>
      </w:tabs>
      <w:spacing w:after="0" w:line="240" w:lineRule="auto"/>
    </w:pPr>
    <w:rPr>
      <w:rFonts w:asciiTheme="minorHAnsi" w:eastAsiaTheme="minorHAnsi" w:hAnsiTheme="minorHAnsi" w:cstheme="minorBidi"/>
      <w:sz w:val="22"/>
      <w:szCs w:val="22"/>
    </w:rPr>
  </w:style>
  <w:style w:type="character" w:customStyle="1" w:styleId="NagwekZnak">
    <w:name w:val="Nagłówek Znak"/>
    <w:basedOn w:val="Domylnaczcionkaakapitu"/>
    <w:link w:val="Nagwek"/>
    <w:uiPriority w:val="99"/>
    <w:rsid w:val="00935994"/>
    <w:rPr>
      <w:rFonts w:asciiTheme="minorHAnsi" w:eastAsiaTheme="minorHAnsi" w:hAnsiTheme="minorHAnsi" w:cstheme="minorBidi"/>
      <w:sz w:val="22"/>
      <w:szCs w:val="22"/>
    </w:rPr>
  </w:style>
  <w:style w:type="paragraph" w:styleId="Stopka">
    <w:name w:val="footer"/>
    <w:basedOn w:val="Normalny"/>
    <w:link w:val="StopkaZnak"/>
    <w:uiPriority w:val="99"/>
    <w:unhideWhenUsed/>
    <w:rsid w:val="00FB3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3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56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1116</Words>
  <Characters>6696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Slawomir Baum</cp:lastModifiedBy>
  <cp:revision>3</cp:revision>
  <dcterms:created xsi:type="dcterms:W3CDTF">2017-09-12T07:32:00Z</dcterms:created>
  <dcterms:modified xsi:type="dcterms:W3CDTF">2017-09-22T10:20:00Z</dcterms:modified>
</cp:coreProperties>
</file>